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2A2" w:rsidRPr="006E49EA" w:rsidRDefault="00425CCD" w:rsidP="00E710B4">
      <w:pPr>
        <w:ind w:left="-426" w:firstLine="426"/>
        <w:jc w:val="center"/>
      </w:pPr>
      <w:r w:rsidRPr="006E49EA">
        <w:rPr>
          <w:noProof/>
        </w:rPr>
        <w:drawing>
          <wp:inline distT="0" distB="0" distL="0" distR="0">
            <wp:extent cx="1866791" cy="620847"/>
            <wp:effectExtent l="0" t="0" r="635" b="8255"/>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nfx01.png"/>
                    <pic:cNvPicPr/>
                  </pic:nvPicPr>
                  <pic:blipFill>
                    <a:blip r:embed="rId5">
                      <a:extLst>
                        <a:ext uri="{28A0092B-C50C-407E-A947-70E740481C1C}">
                          <a14:useLocalDpi xmlns:a14="http://schemas.microsoft.com/office/drawing/2010/main" val="0"/>
                        </a:ext>
                      </a:extLst>
                    </a:blip>
                    <a:stretch>
                      <a:fillRect/>
                    </a:stretch>
                  </pic:blipFill>
                  <pic:spPr>
                    <a:xfrm>
                      <a:off x="0" y="0"/>
                      <a:ext cx="1946199" cy="647256"/>
                    </a:xfrm>
                    <a:prstGeom prst="rect">
                      <a:avLst/>
                    </a:prstGeom>
                  </pic:spPr>
                </pic:pic>
              </a:graphicData>
            </a:graphic>
          </wp:inline>
        </w:drawing>
      </w:r>
    </w:p>
    <w:p w:rsidR="00783C71" w:rsidRPr="006E49EA" w:rsidRDefault="00783C71" w:rsidP="00E710B4">
      <w:pPr>
        <w:ind w:left="-426" w:firstLine="426"/>
        <w:jc w:val="center"/>
      </w:pPr>
    </w:p>
    <w:p w:rsidR="006C552F" w:rsidRPr="006C552F" w:rsidRDefault="006C552F" w:rsidP="006C552F">
      <w:pPr>
        <w:spacing w:before="100" w:beforeAutospacing="1" w:after="100" w:afterAutospacing="1" w:line="240" w:lineRule="auto"/>
        <w:rPr>
          <w:rFonts w:eastAsia="Times New Roman"/>
          <w:color w:val="002060"/>
          <w:sz w:val="28"/>
          <w:szCs w:val="28"/>
          <w:lang w:eastAsia="es-MX"/>
        </w:rPr>
      </w:pPr>
      <w:r w:rsidRPr="006C552F">
        <w:rPr>
          <w:rFonts w:eastAsia="Times New Roman"/>
          <w:b/>
          <w:bCs/>
          <w:color w:val="002060"/>
          <w:sz w:val="28"/>
          <w:szCs w:val="28"/>
          <w:lang w:eastAsia="es-MX"/>
        </w:rPr>
        <w:t xml:space="preserve">¿Por qué los deberes de la Norma ISO 9001 inician en la cláusula 4? </w:t>
      </w:r>
    </w:p>
    <w:p w:rsidR="006C552F" w:rsidRPr="006C552F" w:rsidRDefault="006C552F" w:rsidP="006C552F">
      <w:pPr>
        <w:spacing w:before="100" w:beforeAutospacing="1" w:after="100" w:afterAutospacing="1" w:line="240" w:lineRule="auto"/>
        <w:rPr>
          <w:rFonts w:eastAsia="Times New Roman"/>
          <w:lang w:eastAsia="es-MX"/>
        </w:rPr>
      </w:pPr>
      <w:r w:rsidRPr="006C552F">
        <w:rPr>
          <w:rFonts w:eastAsia="Times New Roman"/>
          <w:lang w:eastAsia="es-MX"/>
        </w:rPr>
        <w:t>La estructura y secuencia de las cláusulas en las normas ISO no es aleatoria. En realidad, obedecen a un diseño específico que busca establecer un marco lógico y coherente para la implementación de sistemas de gestión. En el caso de la ISO 9001, esta estructura es aún más evidente.</w:t>
      </w:r>
    </w:p>
    <w:p w:rsidR="006C552F" w:rsidRPr="006C552F" w:rsidRDefault="006C552F" w:rsidP="006C552F">
      <w:pPr>
        <w:spacing w:before="100" w:beforeAutospacing="1" w:after="100" w:afterAutospacing="1" w:line="240" w:lineRule="auto"/>
        <w:rPr>
          <w:rFonts w:eastAsia="Times New Roman"/>
          <w:lang w:eastAsia="es-MX"/>
        </w:rPr>
      </w:pPr>
      <w:r w:rsidRPr="006C552F">
        <w:rPr>
          <w:rFonts w:eastAsia="Times New Roman"/>
          <w:lang w:eastAsia="es-MX"/>
        </w:rPr>
        <w:t>La ISO 9001, al igual que muchas otras normas ISO de sistemas de gestión, sigue una estructura de alto nivel denominada "Anexo SL". Esta estructura fue diseñada para proporcionar consistencia y alineación entre las diferentes normas ISO de sistemas de gestión, facilitando su integración y comprensión.</w:t>
      </w:r>
    </w:p>
    <w:p w:rsidR="006C552F" w:rsidRPr="006C552F" w:rsidRDefault="006C552F" w:rsidP="006C552F">
      <w:pPr>
        <w:numPr>
          <w:ilvl w:val="0"/>
          <w:numId w:val="33"/>
        </w:numPr>
        <w:spacing w:before="100" w:beforeAutospacing="1" w:after="100" w:afterAutospacing="1" w:line="240" w:lineRule="auto"/>
        <w:rPr>
          <w:rFonts w:eastAsia="Times New Roman"/>
          <w:lang w:eastAsia="es-MX"/>
        </w:rPr>
      </w:pPr>
      <w:r w:rsidRPr="006C552F">
        <w:rPr>
          <w:rFonts w:eastAsia="Times New Roman"/>
          <w:b/>
          <w:bCs/>
          <w:lang w:eastAsia="es-MX"/>
        </w:rPr>
        <w:t>Cláusulas 1, 2 y 3:</w:t>
      </w:r>
      <w:r w:rsidRPr="006C552F">
        <w:rPr>
          <w:rFonts w:eastAsia="Times New Roman"/>
          <w:lang w:eastAsia="es-MX"/>
        </w:rPr>
        <w:t xml:space="preserve"> Estas secciones iniciales no establecen deberes específicos para la organización, sino que sientan las bases y el contexto de la norma. En particular:</w:t>
      </w:r>
    </w:p>
    <w:p w:rsidR="006C552F" w:rsidRPr="006C552F" w:rsidRDefault="006C552F" w:rsidP="006C552F">
      <w:pPr>
        <w:numPr>
          <w:ilvl w:val="1"/>
          <w:numId w:val="33"/>
        </w:numPr>
        <w:spacing w:before="100" w:beforeAutospacing="1" w:after="100" w:afterAutospacing="1" w:line="240" w:lineRule="auto"/>
        <w:rPr>
          <w:rFonts w:eastAsia="Times New Roman"/>
          <w:lang w:eastAsia="es-MX"/>
        </w:rPr>
      </w:pPr>
      <w:r w:rsidRPr="006C552F">
        <w:rPr>
          <w:rFonts w:eastAsia="Times New Roman"/>
          <w:b/>
          <w:bCs/>
          <w:lang w:eastAsia="es-MX"/>
        </w:rPr>
        <w:t>Cláusula 1:</w:t>
      </w:r>
      <w:r w:rsidRPr="006C552F">
        <w:rPr>
          <w:rFonts w:eastAsia="Times New Roman"/>
          <w:lang w:eastAsia="es-MX"/>
        </w:rPr>
        <w:t xml:space="preserve"> Es el </w:t>
      </w:r>
      <w:r w:rsidRPr="006C552F">
        <w:rPr>
          <w:rFonts w:eastAsia="Times New Roman"/>
          <w:i/>
          <w:iCs/>
          <w:lang w:eastAsia="es-MX"/>
        </w:rPr>
        <w:t>Alcance</w:t>
      </w:r>
      <w:r w:rsidRPr="006C552F">
        <w:rPr>
          <w:rFonts w:eastAsia="Times New Roman"/>
          <w:lang w:eastAsia="es-MX"/>
        </w:rPr>
        <w:t>. Define para qué tipo de organizaciones o situaciones es aplicable la norma.</w:t>
      </w:r>
    </w:p>
    <w:p w:rsidR="006C552F" w:rsidRPr="006C552F" w:rsidRDefault="006C552F" w:rsidP="006C552F">
      <w:pPr>
        <w:numPr>
          <w:ilvl w:val="1"/>
          <w:numId w:val="33"/>
        </w:numPr>
        <w:spacing w:before="100" w:beforeAutospacing="1" w:after="100" w:afterAutospacing="1" w:line="240" w:lineRule="auto"/>
        <w:rPr>
          <w:rFonts w:eastAsia="Times New Roman"/>
          <w:lang w:eastAsia="es-MX"/>
        </w:rPr>
      </w:pPr>
      <w:r w:rsidRPr="006C552F">
        <w:rPr>
          <w:rFonts w:eastAsia="Times New Roman"/>
          <w:b/>
          <w:bCs/>
          <w:lang w:eastAsia="es-MX"/>
        </w:rPr>
        <w:t>Cláusula 2:</w:t>
      </w:r>
      <w:r w:rsidRPr="006C552F">
        <w:rPr>
          <w:rFonts w:eastAsia="Times New Roman"/>
          <w:lang w:eastAsia="es-MX"/>
        </w:rPr>
        <w:t xml:space="preserve"> Hace referencia a las </w:t>
      </w:r>
      <w:r w:rsidRPr="006C552F">
        <w:rPr>
          <w:rFonts w:eastAsia="Times New Roman"/>
          <w:i/>
          <w:iCs/>
          <w:lang w:eastAsia="es-MX"/>
        </w:rPr>
        <w:t>Normas para consulta</w:t>
      </w:r>
      <w:r w:rsidRPr="006C552F">
        <w:rPr>
          <w:rFonts w:eastAsia="Times New Roman"/>
          <w:lang w:eastAsia="es-MX"/>
        </w:rPr>
        <w:t>. Es decir, identifica otras normas que pueden ser relevantes o necesarias para comprender plenamente los requisitos de la ISO 9001.</w:t>
      </w:r>
    </w:p>
    <w:p w:rsidR="006C552F" w:rsidRPr="006C552F" w:rsidRDefault="006C552F" w:rsidP="006C552F">
      <w:pPr>
        <w:numPr>
          <w:ilvl w:val="1"/>
          <w:numId w:val="33"/>
        </w:numPr>
        <w:spacing w:before="100" w:beforeAutospacing="1" w:after="100" w:afterAutospacing="1" w:line="240" w:lineRule="auto"/>
        <w:rPr>
          <w:rFonts w:eastAsia="Times New Roman"/>
          <w:lang w:eastAsia="es-MX"/>
        </w:rPr>
      </w:pPr>
      <w:r w:rsidRPr="006C552F">
        <w:rPr>
          <w:rFonts w:eastAsia="Times New Roman"/>
          <w:b/>
          <w:bCs/>
          <w:lang w:eastAsia="es-MX"/>
        </w:rPr>
        <w:t>Cláusula 3:</w:t>
      </w:r>
      <w:r w:rsidRPr="006C552F">
        <w:rPr>
          <w:rFonts w:eastAsia="Times New Roman"/>
          <w:lang w:eastAsia="es-MX"/>
        </w:rPr>
        <w:t xml:space="preserve"> Define los </w:t>
      </w:r>
      <w:r w:rsidRPr="006C552F">
        <w:rPr>
          <w:rFonts w:eastAsia="Times New Roman"/>
          <w:i/>
          <w:iCs/>
          <w:lang w:eastAsia="es-MX"/>
        </w:rPr>
        <w:t>Términos y definiciones</w:t>
      </w:r>
      <w:r w:rsidRPr="006C552F">
        <w:rPr>
          <w:rFonts w:eastAsia="Times New Roman"/>
          <w:lang w:eastAsia="es-MX"/>
        </w:rPr>
        <w:t>. Esta sección es crucial para garantizar que todos los que utilizan la norma tengan un entendimiento claro y uniforme de los términos clave que se utilizan.</w:t>
      </w:r>
    </w:p>
    <w:p w:rsidR="006C552F" w:rsidRPr="006C552F" w:rsidRDefault="006C552F" w:rsidP="006C552F">
      <w:pPr>
        <w:numPr>
          <w:ilvl w:val="0"/>
          <w:numId w:val="33"/>
        </w:numPr>
        <w:spacing w:before="100" w:beforeAutospacing="1" w:after="100" w:afterAutospacing="1" w:line="240" w:lineRule="auto"/>
        <w:rPr>
          <w:rFonts w:eastAsia="Times New Roman"/>
          <w:lang w:eastAsia="es-MX"/>
        </w:rPr>
      </w:pPr>
      <w:r w:rsidRPr="006C552F">
        <w:rPr>
          <w:rFonts w:eastAsia="Times New Roman"/>
          <w:b/>
          <w:bCs/>
          <w:lang w:eastAsia="es-MX"/>
        </w:rPr>
        <w:t>Cláusula 4: Contexto de la organización:</w:t>
      </w:r>
      <w:r w:rsidRPr="006C552F">
        <w:rPr>
          <w:rFonts w:eastAsia="Times New Roman"/>
          <w:lang w:eastAsia="es-MX"/>
        </w:rPr>
        <w:t xml:space="preserve"> Aquí es donde realmente </w:t>
      </w:r>
      <w:r w:rsidRPr="00A65383">
        <w:rPr>
          <w:rFonts w:eastAsia="Times New Roman"/>
          <w:color w:val="002060"/>
          <w:lang w:eastAsia="es-MX"/>
        </w:rPr>
        <w:t xml:space="preserve">comienzan los deberes </w:t>
      </w:r>
      <w:r w:rsidRPr="006C552F">
        <w:rPr>
          <w:rFonts w:eastAsia="Times New Roman"/>
          <w:lang w:eastAsia="es-MX"/>
        </w:rPr>
        <w:t>y requisitos específicos para las organizaciones. Esta sección establece la necesidad de entender y evaluar el contexto externo e interno de una organización al implementar un Sistema de Gestión de la Calidad (SGC). Es una cláusula fundamental, ya que establece la base para que la organización defina su SGC en función de sus particularidades, riesgos y oportunidades.</w:t>
      </w:r>
    </w:p>
    <w:p w:rsidR="006C552F" w:rsidRDefault="006C552F" w:rsidP="006C552F">
      <w:pPr>
        <w:spacing w:before="100" w:beforeAutospacing="1" w:after="100" w:afterAutospacing="1" w:line="240" w:lineRule="auto"/>
        <w:rPr>
          <w:rFonts w:eastAsia="Times New Roman"/>
          <w:lang w:eastAsia="es-MX"/>
        </w:rPr>
      </w:pPr>
      <w:r w:rsidRPr="006C552F">
        <w:rPr>
          <w:rFonts w:eastAsia="Times New Roman"/>
          <w:lang w:eastAsia="es-MX"/>
        </w:rPr>
        <w:t>Por tanto, el inicio en la cláusula 4 es intencional. Antes de sumergirse en los detalles y los requisitos específicos del sistema de gestión de calidad, es esencial establecer un fund</w:t>
      </w:r>
      <w:bookmarkStart w:id="0" w:name="_GoBack"/>
      <w:bookmarkEnd w:id="0"/>
      <w:r w:rsidRPr="006C552F">
        <w:rPr>
          <w:rFonts w:eastAsia="Times New Roman"/>
          <w:lang w:eastAsia="es-MX"/>
        </w:rPr>
        <w:t>amento sólido: un entendimiento claro de qué trata la norma, cuál es su alcance y, sobre todo, un entendimiento del contexto y características propias de la organización. Es solo con esta base que una organización puede comenzar a diseñar e implementar un sistema de gestión de calidad verdaderamente efectivo y adecuado a sus necesidades.</w:t>
      </w:r>
    </w:p>
    <w:p w:rsidR="006E49EA" w:rsidRDefault="006E49EA" w:rsidP="006C552F">
      <w:pPr>
        <w:spacing w:before="100" w:beforeAutospacing="1" w:after="100" w:afterAutospacing="1" w:line="240" w:lineRule="auto"/>
        <w:rPr>
          <w:rFonts w:eastAsia="Times New Roman"/>
          <w:lang w:eastAsia="es-MX"/>
        </w:rPr>
      </w:pPr>
    </w:p>
    <w:p w:rsidR="006E49EA" w:rsidRPr="006C552F" w:rsidRDefault="006E49EA" w:rsidP="006C552F">
      <w:pPr>
        <w:spacing w:before="100" w:beforeAutospacing="1" w:after="100" w:afterAutospacing="1" w:line="240" w:lineRule="auto"/>
        <w:rPr>
          <w:rFonts w:eastAsia="Times New Roman"/>
          <w:lang w:eastAsia="es-MX"/>
        </w:rPr>
      </w:pPr>
    </w:p>
    <w:p w:rsidR="006E49EA" w:rsidRDefault="006E49EA" w:rsidP="006E49EA">
      <w:pPr>
        <w:spacing w:after="0" w:line="240" w:lineRule="auto"/>
        <w:rPr>
          <w:rFonts w:eastAsia="Times New Roman"/>
          <w:lang w:eastAsia="es-MX"/>
        </w:rPr>
      </w:pPr>
    </w:p>
    <w:p w:rsidR="006E49EA" w:rsidRPr="006C552F" w:rsidRDefault="006E49EA" w:rsidP="006C552F">
      <w:pPr>
        <w:spacing w:after="0" w:line="240" w:lineRule="auto"/>
        <w:rPr>
          <w:rFonts w:eastAsia="Times New Roman"/>
          <w:lang w:eastAsia="es-MX"/>
        </w:rPr>
      </w:pPr>
    </w:p>
    <w:p w:rsidR="006C552F" w:rsidRPr="006E49EA" w:rsidRDefault="006E49EA" w:rsidP="006C552F">
      <w:pPr>
        <w:spacing w:after="0" w:line="240" w:lineRule="auto"/>
        <w:rPr>
          <w:rFonts w:eastAsia="Times New Roman"/>
          <w:b/>
          <w:bCs/>
          <w:color w:val="002060"/>
          <w:sz w:val="28"/>
          <w:szCs w:val="28"/>
          <w:lang w:eastAsia="es-MX"/>
        </w:rPr>
      </w:pPr>
      <w:r w:rsidRPr="006E49EA">
        <w:rPr>
          <w:rFonts w:eastAsia="Times New Roman"/>
          <w:b/>
          <w:bCs/>
          <w:color w:val="002060"/>
          <w:sz w:val="28"/>
          <w:szCs w:val="28"/>
          <w:lang w:eastAsia="es-MX"/>
        </w:rPr>
        <w:lastRenderedPageBreak/>
        <w:t>¿</w:t>
      </w:r>
      <w:r w:rsidR="006C552F" w:rsidRPr="006C552F">
        <w:rPr>
          <w:rFonts w:eastAsia="Times New Roman"/>
          <w:b/>
          <w:bCs/>
          <w:color w:val="002060"/>
          <w:sz w:val="28"/>
          <w:szCs w:val="28"/>
          <w:lang w:eastAsia="es-MX"/>
        </w:rPr>
        <w:t xml:space="preserve">Hay algo que deba hacerse </w:t>
      </w:r>
      <w:r w:rsidRPr="006C552F">
        <w:rPr>
          <w:rFonts w:eastAsia="Times New Roman"/>
          <w:b/>
          <w:bCs/>
          <w:color w:val="002060"/>
          <w:sz w:val="28"/>
          <w:szCs w:val="28"/>
          <w:lang w:eastAsia="es-MX"/>
        </w:rPr>
        <w:t>de acuerdo con</w:t>
      </w:r>
      <w:r w:rsidR="006C552F" w:rsidRPr="006C552F">
        <w:rPr>
          <w:rFonts w:eastAsia="Times New Roman"/>
          <w:b/>
          <w:bCs/>
          <w:color w:val="002060"/>
          <w:sz w:val="28"/>
          <w:szCs w:val="28"/>
          <w:lang w:eastAsia="es-MX"/>
        </w:rPr>
        <w:t xml:space="preserve"> las cláusulas 1,</w:t>
      </w:r>
      <w:r>
        <w:rPr>
          <w:rFonts w:eastAsia="Times New Roman"/>
          <w:b/>
          <w:bCs/>
          <w:color w:val="002060"/>
          <w:sz w:val="28"/>
          <w:szCs w:val="28"/>
          <w:lang w:eastAsia="es-MX"/>
        </w:rPr>
        <w:t xml:space="preserve"> </w:t>
      </w:r>
      <w:r w:rsidR="006C552F" w:rsidRPr="006C552F">
        <w:rPr>
          <w:rFonts w:eastAsia="Times New Roman"/>
          <w:b/>
          <w:bCs/>
          <w:color w:val="002060"/>
          <w:sz w:val="28"/>
          <w:szCs w:val="28"/>
          <w:lang w:eastAsia="es-MX"/>
        </w:rPr>
        <w:t>2 y 3?</w:t>
      </w:r>
    </w:p>
    <w:p w:rsidR="006E49EA" w:rsidRDefault="006E49EA" w:rsidP="006C552F">
      <w:pPr>
        <w:spacing w:after="0" w:line="240" w:lineRule="auto"/>
        <w:rPr>
          <w:rFonts w:eastAsia="Times New Roman"/>
          <w:lang w:eastAsia="es-MX"/>
        </w:rPr>
      </w:pPr>
    </w:p>
    <w:p w:rsidR="006C552F" w:rsidRPr="006C552F" w:rsidRDefault="006C552F" w:rsidP="006C552F">
      <w:pPr>
        <w:spacing w:before="100" w:beforeAutospacing="1" w:after="100" w:afterAutospacing="1" w:line="240" w:lineRule="auto"/>
        <w:rPr>
          <w:rFonts w:eastAsia="Times New Roman"/>
          <w:lang w:eastAsia="es-MX"/>
        </w:rPr>
      </w:pPr>
      <w:r w:rsidRPr="006C552F">
        <w:rPr>
          <w:rFonts w:eastAsia="Times New Roman"/>
          <w:lang w:eastAsia="es-MX"/>
        </w:rPr>
        <w:t>Las cláusulas 1, 2 y 3 de la Norma ISO 9001:2015 establecen el contexto, referencias normativas y términos y definiciones respectivamente. Aunque no imponen deberes o requisitos específicos para la implementación, sí proporcionan información esencial para una correcta comprensión e implementación de la norma. A continuación, te detallo lo que implican y lo que generalmente las organizaciones deberían hacer al respecto:</w:t>
      </w:r>
    </w:p>
    <w:p w:rsidR="006C552F" w:rsidRPr="006C552F" w:rsidRDefault="006C552F" w:rsidP="006C552F">
      <w:pPr>
        <w:numPr>
          <w:ilvl w:val="0"/>
          <w:numId w:val="34"/>
        </w:numPr>
        <w:spacing w:before="100" w:beforeAutospacing="1" w:after="100" w:afterAutospacing="1" w:line="240" w:lineRule="auto"/>
        <w:rPr>
          <w:rFonts w:eastAsia="Times New Roman"/>
          <w:lang w:eastAsia="es-MX"/>
        </w:rPr>
      </w:pPr>
      <w:r w:rsidRPr="006C552F">
        <w:rPr>
          <w:rFonts w:eastAsia="Times New Roman"/>
          <w:b/>
          <w:bCs/>
          <w:lang w:eastAsia="es-MX"/>
        </w:rPr>
        <w:t>Cláusula 1 - Alcance:</w:t>
      </w:r>
    </w:p>
    <w:p w:rsidR="006C552F" w:rsidRPr="006C552F" w:rsidRDefault="006C552F" w:rsidP="006C552F">
      <w:pPr>
        <w:numPr>
          <w:ilvl w:val="1"/>
          <w:numId w:val="34"/>
        </w:numPr>
        <w:spacing w:before="100" w:beforeAutospacing="1" w:after="100" w:afterAutospacing="1" w:line="240" w:lineRule="auto"/>
        <w:rPr>
          <w:rFonts w:eastAsia="Times New Roman"/>
          <w:lang w:eastAsia="es-MX"/>
        </w:rPr>
      </w:pPr>
      <w:r w:rsidRPr="006C552F">
        <w:rPr>
          <w:rFonts w:eastAsia="Times New Roman"/>
          <w:b/>
          <w:bCs/>
          <w:lang w:eastAsia="es-MX"/>
        </w:rPr>
        <w:t>¿Qué dice?</w:t>
      </w:r>
      <w:r w:rsidRPr="006C552F">
        <w:rPr>
          <w:rFonts w:eastAsia="Times New Roman"/>
          <w:lang w:eastAsia="es-MX"/>
        </w:rPr>
        <w:t xml:space="preserve"> Define el propósito y la aplicabilidad de la norma ISO 9001:2015. Establece que la norma </w:t>
      </w:r>
      <w:proofErr w:type="spellStart"/>
      <w:r w:rsidRPr="006C552F">
        <w:rPr>
          <w:rFonts w:eastAsia="Times New Roman"/>
          <w:lang w:eastAsia="es-MX"/>
        </w:rPr>
        <w:t>especifica</w:t>
      </w:r>
      <w:proofErr w:type="spellEnd"/>
      <w:r w:rsidRPr="006C552F">
        <w:rPr>
          <w:rFonts w:eastAsia="Times New Roman"/>
          <w:lang w:eastAsia="es-MX"/>
        </w:rPr>
        <w:t xml:space="preserve"> los requisitos para un sistema de gestión de calidad cuando una organización necesita demostrar su capacidad para proporcionar productos y servicios que satisfagan los requisitos del cliente y los reglamentarios.</w:t>
      </w:r>
      <w:r w:rsidR="006E49EA">
        <w:rPr>
          <w:rFonts w:eastAsia="Times New Roman"/>
          <w:lang w:eastAsia="es-MX"/>
        </w:rPr>
        <w:br/>
      </w:r>
    </w:p>
    <w:p w:rsidR="006C552F" w:rsidRPr="006C552F" w:rsidRDefault="006C552F" w:rsidP="006C552F">
      <w:pPr>
        <w:numPr>
          <w:ilvl w:val="1"/>
          <w:numId w:val="34"/>
        </w:numPr>
        <w:spacing w:before="100" w:beforeAutospacing="1" w:after="100" w:afterAutospacing="1" w:line="240" w:lineRule="auto"/>
        <w:rPr>
          <w:rFonts w:eastAsia="Times New Roman"/>
          <w:lang w:eastAsia="es-MX"/>
        </w:rPr>
      </w:pPr>
      <w:r w:rsidRPr="006C552F">
        <w:rPr>
          <w:rFonts w:eastAsia="Times New Roman"/>
          <w:b/>
          <w:bCs/>
          <w:lang w:eastAsia="es-MX"/>
        </w:rPr>
        <w:t>¿Qué hacer?</w:t>
      </w:r>
      <w:r w:rsidRPr="006C552F">
        <w:rPr>
          <w:rFonts w:eastAsia="Times New Roman"/>
          <w:lang w:eastAsia="es-MX"/>
        </w:rPr>
        <w:t xml:space="preserve"> Las organizaciones deben asegurarse de comprender este alcance y determinar si la norma es aplicable a su contexto. De ser así, deben definir y documentar el alcance de su propio Sistema de Gestión de Calidad (SGC).</w:t>
      </w:r>
      <w:r w:rsidR="006E49EA">
        <w:rPr>
          <w:rFonts w:eastAsia="Times New Roman"/>
          <w:lang w:eastAsia="es-MX"/>
        </w:rPr>
        <w:br/>
      </w:r>
    </w:p>
    <w:p w:rsidR="006C552F" w:rsidRPr="006C552F" w:rsidRDefault="006C552F" w:rsidP="006C552F">
      <w:pPr>
        <w:numPr>
          <w:ilvl w:val="0"/>
          <w:numId w:val="34"/>
        </w:numPr>
        <w:spacing w:before="100" w:beforeAutospacing="1" w:after="100" w:afterAutospacing="1" w:line="240" w:lineRule="auto"/>
        <w:rPr>
          <w:rFonts w:eastAsia="Times New Roman"/>
          <w:lang w:eastAsia="es-MX"/>
        </w:rPr>
      </w:pPr>
      <w:r w:rsidRPr="006C552F">
        <w:rPr>
          <w:rFonts w:eastAsia="Times New Roman"/>
          <w:b/>
          <w:bCs/>
          <w:lang w:eastAsia="es-MX"/>
        </w:rPr>
        <w:t>Cláusula 2 - Referencias normativas:</w:t>
      </w:r>
    </w:p>
    <w:p w:rsidR="006C552F" w:rsidRPr="006C552F" w:rsidRDefault="006C552F" w:rsidP="006C552F">
      <w:pPr>
        <w:numPr>
          <w:ilvl w:val="1"/>
          <w:numId w:val="34"/>
        </w:numPr>
        <w:spacing w:before="100" w:beforeAutospacing="1" w:after="100" w:afterAutospacing="1" w:line="240" w:lineRule="auto"/>
        <w:rPr>
          <w:rFonts w:eastAsia="Times New Roman"/>
          <w:lang w:eastAsia="es-MX"/>
        </w:rPr>
      </w:pPr>
      <w:r w:rsidRPr="006C552F">
        <w:rPr>
          <w:rFonts w:eastAsia="Times New Roman"/>
          <w:b/>
          <w:bCs/>
          <w:lang w:eastAsia="es-MX"/>
        </w:rPr>
        <w:t>¿Qué dice?</w:t>
      </w:r>
      <w:r w:rsidRPr="006C552F">
        <w:rPr>
          <w:rFonts w:eastAsia="Times New Roman"/>
          <w:lang w:eastAsia="es-MX"/>
        </w:rPr>
        <w:t xml:space="preserve"> Menciona las normas complementarias o relacionadas que se deben consultar para obtener una comprensión completa de los requisitos. Para ISO 9001:2015, la norma de referencia es ISO 9000, que cubre los fundamentos y vocabulario.</w:t>
      </w:r>
      <w:r w:rsidR="006E49EA">
        <w:rPr>
          <w:rFonts w:eastAsia="Times New Roman"/>
          <w:lang w:eastAsia="es-MX"/>
        </w:rPr>
        <w:br/>
      </w:r>
    </w:p>
    <w:p w:rsidR="006C552F" w:rsidRPr="006C552F" w:rsidRDefault="006C552F" w:rsidP="006C552F">
      <w:pPr>
        <w:numPr>
          <w:ilvl w:val="1"/>
          <w:numId w:val="34"/>
        </w:numPr>
        <w:spacing w:before="100" w:beforeAutospacing="1" w:after="100" w:afterAutospacing="1" w:line="240" w:lineRule="auto"/>
        <w:rPr>
          <w:rFonts w:eastAsia="Times New Roman"/>
          <w:lang w:eastAsia="es-MX"/>
        </w:rPr>
      </w:pPr>
      <w:r w:rsidRPr="006C552F">
        <w:rPr>
          <w:rFonts w:eastAsia="Times New Roman"/>
          <w:b/>
          <w:bCs/>
          <w:lang w:eastAsia="es-MX"/>
        </w:rPr>
        <w:t>¿Qué hacer?</w:t>
      </w:r>
      <w:r w:rsidRPr="006C552F">
        <w:rPr>
          <w:rFonts w:eastAsia="Times New Roman"/>
          <w:lang w:eastAsia="es-MX"/>
        </w:rPr>
        <w:t xml:space="preserve"> Las organizaciones deben asegurarse de tener acceso y familiarizarse con cualquier norma de referencia mencionada. En este caso, sería útil revisar la ISO 9000 para comprender el vocabulario y las definiciones utilizadas en ISO 9001.</w:t>
      </w:r>
      <w:r w:rsidR="006E49EA">
        <w:rPr>
          <w:rFonts w:eastAsia="Times New Roman"/>
          <w:lang w:eastAsia="es-MX"/>
        </w:rPr>
        <w:br/>
      </w:r>
    </w:p>
    <w:p w:rsidR="006C552F" w:rsidRPr="006C552F" w:rsidRDefault="006C552F" w:rsidP="006C552F">
      <w:pPr>
        <w:numPr>
          <w:ilvl w:val="0"/>
          <w:numId w:val="34"/>
        </w:numPr>
        <w:spacing w:before="100" w:beforeAutospacing="1" w:after="100" w:afterAutospacing="1" w:line="240" w:lineRule="auto"/>
        <w:rPr>
          <w:rFonts w:eastAsia="Times New Roman"/>
          <w:lang w:eastAsia="es-MX"/>
        </w:rPr>
      </w:pPr>
      <w:r w:rsidRPr="006C552F">
        <w:rPr>
          <w:rFonts w:eastAsia="Times New Roman"/>
          <w:b/>
          <w:bCs/>
          <w:lang w:eastAsia="es-MX"/>
        </w:rPr>
        <w:t>Cláusula 3 - Términos y definiciones:</w:t>
      </w:r>
    </w:p>
    <w:p w:rsidR="006C552F" w:rsidRPr="006C552F" w:rsidRDefault="006C552F" w:rsidP="006C552F">
      <w:pPr>
        <w:numPr>
          <w:ilvl w:val="1"/>
          <w:numId w:val="34"/>
        </w:numPr>
        <w:spacing w:before="100" w:beforeAutospacing="1" w:after="100" w:afterAutospacing="1" w:line="240" w:lineRule="auto"/>
        <w:rPr>
          <w:rFonts w:eastAsia="Times New Roman"/>
          <w:lang w:eastAsia="es-MX"/>
        </w:rPr>
      </w:pPr>
      <w:r w:rsidRPr="006C552F">
        <w:rPr>
          <w:rFonts w:eastAsia="Times New Roman"/>
          <w:b/>
          <w:bCs/>
          <w:lang w:eastAsia="es-MX"/>
        </w:rPr>
        <w:t>¿Qué dice?</w:t>
      </w:r>
      <w:r w:rsidRPr="006C552F">
        <w:rPr>
          <w:rFonts w:eastAsia="Times New Roman"/>
          <w:lang w:eastAsia="es-MX"/>
        </w:rPr>
        <w:t xml:space="preserve"> Se refiere a los términos y definiciones que se encuentran en la norma ISO 9000, que es esencial para interpretar y aplicar correctamente ISO 9001.</w:t>
      </w:r>
      <w:r w:rsidR="006E49EA">
        <w:rPr>
          <w:rFonts w:eastAsia="Times New Roman"/>
          <w:lang w:eastAsia="es-MX"/>
        </w:rPr>
        <w:br/>
      </w:r>
    </w:p>
    <w:p w:rsidR="006C552F" w:rsidRPr="006C552F" w:rsidRDefault="006C552F" w:rsidP="006C552F">
      <w:pPr>
        <w:numPr>
          <w:ilvl w:val="1"/>
          <w:numId w:val="34"/>
        </w:numPr>
        <w:spacing w:before="100" w:beforeAutospacing="1" w:after="100" w:afterAutospacing="1" w:line="240" w:lineRule="auto"/>
        <w:rPr>
          <w:rFonts w:eastAsia="Times New Roman"/>
          <w:lang w:eastAsia="es-MX"/>
        </w:rPr>
      </w:pPr>
      <w:r w:rsidRPr="006C552F">
        <w:rPr>
          <w:rFonts w:eastAsia="Times New Roman"/>
          <w:b/>
          <w:bCs/>
          <w:lang w:eastAsia="es-MX"/>
        </w:rPr>
        <w:t>¿Qué hacer?</w:t>
      </w:r>
      <w:r w:rsidRPr="006C552F">
        <w:rPr>
          <w:rFonts w:eastAsia="Times New Roman"/>
          <w:lang w:eastAsia="es-MX"/>
        </w:rPr>
        <w:t xml:space="preserve"> Las organizaciones deben revisar estos términos y definiciones y garantizar que todo el personal clave los comprenda. Es fundamental que todos en la organización tengan un entendimiento común de estos términos para garantizar una implementación coherente y efectiva del SGC.</w:t>
      </w:r>
    </w:p>
    <w:p w:rsidR="006C552F" w:rsidRPr="006C552F" w:rsidRDefault="006C552F" w:rsidP="006C552F">
      <w:pPr>
        <w:spacing w:before="100" w:beforeAutospacing="1" w:after="100" w:afterAutospacing="1" w:line="240" w:lineRule="auto"/>
        <w:rPr>
          <w:rFonts w:eastAsia="Times New Roman"/>
          <w:lang w:eastAsia="es-MX"/>
        </w:rPr>
      </w:pPr>
      <w:r w:rsidRPr="006C552F">
        <w:rPr>
          <w:rFonts w:eastAsia="Times New Roman"/>
          <w:lang w:eastAsia="es-MX"/>
        </w:rPr>
        <w:t>Aunque estas cláusulas iniciales no establecen deberes en el sentido tradicional, sí establecen un fundamento esencial. Las organizaciones deben dedicar tiempo a comprender bien estas secciones, ya que proporcionan la base sobre la cual se construye todo el sistema de gestión de calidad.</w:t>
      </w:r>
    </w:p>
    <w:p w:rsidR="00783C71" w:rsidRPr="006E49EA" w:rsidRDefault="00783C71" w:rsidP="00783C71">
      <w:pPr>
        <w:ind w:left="-426" w:firstLine="426"/>
      </w:pPr>
    </w:p>
    <w:sectPr w:rsidR="00783C71" w:rsidRPr="006E49EA" w:rsidSect="00E710B4">
      <w:pgSz w:w="12240" w:h="15840"/>
      <w:pgMar w:top="993" w:right="616" w:bottom="1417" w:left="993"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7251"/>
    <w:multiLevelType w:val="multilevel"/>
    <w:tmpl w:val="AD8C5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2770E5"/>
    <w:multiLevelType w:val="multilevel"/>
    <w:tmpl w:val="883C0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7641F1"/>
    <w:multiLevelType w:val="multilevel"/>
    <w:tmpl w:val="17B24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732CA1"/>
    <w:multiLevelType w:val="multilevel"/>
    <w:tmpl w:val="A2449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6D767B"/>
    <w:multiLevelType w:val="multilevel"/>
    <w:tmpl w:val="35A6A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FB2477C"/>
    <w:multiLevelType w:val="multilevel"/>
    <w:tmpl w:val="29AAC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FB3B42"/>
    <w:multiLevelType w:val="multilevel"/>
    <w:tmpl w:val="FFEEF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397B80"/>
    <w:multiLevelType w:val="multilevel"/>
    <w:tmpl w:val="5ADE8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AD6917"/>
    <w:multiLevelType w:val="multilevel"/>
    <w:tmpl w:val="E4401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C44AF9"/>
    <w:multiLevelType w:val="multilevel"/>
    <w:tmpl w:val="DE5E6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894ACE"/>
    <w:multiLevelType w:val="multilevel"/>
    <w:tmpl w:val="2084BF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FA113A"/>
    <w:multiLevelType w:val="multilevel"/>
    <w:tmpl w:val="1068AD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197088"/>
    <w:multiLevelType w:val="multilevel"/>
    <w:tmpl w:val="C6BCA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C77E44"/>
    <w:multiLevelType w:val="multilevel"/>
    <w:tmpl w:val="8A661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1D2E84"/>
    <w:multiLevelType w:val="multilevel"/>
    <w:tmpl w:val="8070C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90B26E2"/>
    <w:multiLevelType w:val="multilevel"/>
    <w:tmpl w:val="D262B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232CEF"/>
    <w:multiLevelType w:val="multilevel"/>
    <w:tmpl w:val="13421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6B4241"/>
    <w:multiLevelType w:val="multilevel"/>
    <w:tmpl w:val="D750B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F7C4A4E"/>
    <w:multiLevelType w:val="multilevel"/>
    <w:tmpl w:val="AFFC0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6EE653F"/>
    <w:multiLevelType w:val="multilevel"/>
    <w:tmpl w:val="C0FC3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6F55B48"/>
    <w:multiLevelType w:val="hybridMultilevel"/>
    <w:tmpl w:val="636C97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AF1396A"/>
    <w:multiLevelType w:val="multilevel"/>
    <w:tmpl w:val="9EB27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B001495"/>
    <w:multiLevelType w:val="multilevel"/>
    <w:tmpl w:val="A90CD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0407E9"/>
    <w:multiLevelType w:val="multilevel"/>
    <w:tmpl w:val="4D16D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07262FA"/>
    <w:multiLevelType w:val="multilevel"/>
    <w:tmpl w:val="A706F9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CD51A5"/>
    <w:multiLevelType w:val="multilevel"/>
    <w:tmpl w:val="DE96D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A81032"/>
    <w:multiLevelType w:val="multilevel"/>
    <w:tmpl w:val="130E4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2C6D20"/>
    <w:multiLevelType w:val="multilevel"/>
    <w:tmpl w:val="4D062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3225E64"/>
    <w:multiLevelType w:val="multilevel"/>
    <w:tmpl w:val="D9C266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6E36D5F"/>
    <w:multiLevelType w:val="multilevel"/>
    <w:tmpl w:val="689EF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77717DA"/>
    <w:multiLevelType w:val="multilevel"/>
    <w:tmpl w:val="83108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8636BF1"/>
    <w:multiLevelType w:val="multilevel"/>
    <w:tmpl w:val="833AD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C136793"/>
    <w:multiLevelType w:val="multilevel"/>
    <w:tmpl w:val="639A7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F7B108A"/>
    <w:multiLevelType w:val="multilevel"/>
    <w:tmpl w:val="59FC7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24"/>
  </w:num>
  <w:num w:numId="3">
    <w:abstractNumId w:val="20"/>
  </w:num>
  <w:num w:numId="4">
    <w:abstractNumId w:val="15"/>
  </w:num>
  <w:num w:numId="5">
    <w:abstractNumId w:val="8"/>
  </w:num>
  <w:num w:numId="6">
    <w:abstractNumId w:val="22"/>
  </w:num>
  <w:num w:numId="7">
    <w:abstractNumId w:val="32"/>
  </w:num>
  <w:num w:numId="8">
    <w:abstractNumId w:val="29"/>
  </w:num>
  <w:num w:numId="9">
    <w:abstractNumId w:val="23"/>
  </w:num>
  <w:num w:numId="10">
    <w:abstractNumId w:val="12"/>
  </w:num>
  <w:num w:numId="11">
    <w:abstractNumId w:val="31"/>
  </w:num>
  <w:num w:numId="12">
    <w:abstractNumId w:val="9"/>
  </w:num>
  <w:num w:numId="13">
    <w:abstractNumId w:val="18"/>
  </w:num>
  <w:num w:numId="14">
    <w:abstractNumId w:val="21"/>
  </w:num>
  <w:num w:numId="15">
    <w:abstractNumId w:val="28"/>
  </w:num>
  <w:num w:numId="16">
    <w:abstractNumId w:val="1"/>
  </w:num>
  <w:num w:numId="17">
    <w:abstractNumId w:val="2"/>
  </w:num>
  <w:num w:numId="18">
    <w:abstractNumId w:val="0"/>
  </w:num>
  <w:num w:numId="19">
    <w:abstractNumId w:val="5"/>
  </w:num>
  <w:num w:numId="20">
    <w:abstractNumId w:val="19"/>
  </w:num>
  <w:num w:numId="21">
    <w:abstractNumId w:val="14"/>
  </w:num>
  <w:num w:numId="22">
    <w:abstractNumId w:val="16"/>
  </w:num>
  <w:num w:numId="23">
    <w:abstractNumId w:val="25"/>
  </w:num>
  <w:num w:numId="24">
    <w:abstractNumId w:val="30"/>
  </w:num>
  <w:num w:numId="25">
    <w:abstractNumId w:val="6"/>
  </w:num>
  <w:num w:numId="26">
    <w:abstractNumId w:val="27"/>
  </w:num>
  <w:num w:numId="27">
    <w:abstractNumId w:val="3"/>
  </w:num>
  <w:num w:numId="28">
    <w:abstractNumId w:val="7"/>
  </w:num>
  <w:num w:numId="29">
    <w:abstractNumId w:val="4"/>
  </w:num>
  <w:num w:numId="30">
    <w:abstractNumId w:val="26"/>
  </w:num>
  <w:num w:numId="31">
    <w:abstractNumId w:val="17"/>
  </w:num>
  <w:num w:numId="32">
    <w:abstractNumId w:val="13"/>
  </w:num>
  <w:num w:numId="33">
    <w:abstractNumId w:val="10"/>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CD"/>
    <w:rsid w:val="000343DA"/>
    <w:rsid w:val="000B13EA"/>
    <w:rsid w:val="000F32B8"/>
    <w:rsid w:val="001522A2"/>
    <w:rsid w:val="001B3EFE"/>
    <w:rsid w:val="002A02A0"/>
    <w:rsid w:val="00395361"/>
    <w:rsid w:val="003E043A"/>
    <w:rsid w:val="00425CCD"/>
    <w:rsid w:val="004C13FE"/>
    <w:rsid w:val="004C32F1"/>
    <w:rsid w:val="00594434"/>
    <w:rsid w:val="005B125C"/>
    <w:rsid w:val="006515C4"/>
    <w:rsid w:val="006C552F"/>
    <w:rsid w:val="006E49EA"/>
    <w:rsid w:val="00736C56"/>
    <w:rsid w:val="00762B63"/>
    <w:rsid w:val="00783C71"/>
    <w:rsid w:val="007D1306"/>
    <w:rsid w:val="00830B98"/>
    <w:rsid w:val="00867CB3"/>
    <w:rsid w:val="00A33199"/>
    <w:rsid w:val="00A36425"/>
    <w:rsid w:val="00A65383"/>
    <w:rsid w:val="00AF4F47"/>
    <w:rsid w:val="00B0043B"/>
    <w:rsid w:val="00B60CD9"/>
    <w:rsid w:val="00B972E1"/>
    <w:rsid w:val="00BB31CA"/>
    <w:rsid w:val="00C27A1C"/>
    <w:rsid w:val="00C33AC4"/>
    <w:rsid w:val="00C81DD4"/>
    <w:rsid w:val="00CF5166"/>
    <w:rsid w:val="00D77BE1"/>
    <w:rsid w:val="00E363B1"/>
    <w:rsid w:val="00E710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59CC88-BAFB-4F27-B751-56B8DA63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425CC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uiPriority w:val="22"/>
    <w:qFormat/>
    <w:rsid w:val="00425CCD"/>
    <w:rPr>
      <w:b/>
      <w:bCs/>
    </w:rPr>
  </w:style>
  <w:style w:type="table" w:styleId="Sombreadomedio1-nfasis5">
    <w:name w:val="Medium Shading 1 Accent 5"/>
    <w:basedOn w:val="Tablanormal"/>
    <w:uiPriority w:val="63"/>
    <w:rsid w:val="00B60CD9"/>
    <w:pPr>
      <w:spacing w:after="0" w:line="240" w:lineRule="auto"/>
    </w:pPr>
    <w:rPr>
      <w:rFonts w:asciiTheme="minorHAnsi" w:hAnsiTheme="minorHAnsi" w:cstheme="minorBidi"/>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paragraph" w:styleId="Prrafodelista">
    <w:name w:val="List Paragraph"/>
    <w:basedOn w:val="Normal"/>
    <w:uiPriority w:val="34"/>
    <w:qFormat/>
    <w:rsid w:val="00B60CD9"/>
    <w:pPr>
      <w:ind w:left="720"/>
      <w:contextualSpacing/>
    </w:pPr>
  </w:style>
  <w:style w:type="character" w:styleId="nfasis">
    <w:name w:val="Emphasis"/>
    <w:basedOn w:val="Fuentedeprrafopredeter"/>
    <w:uiPriority w:val="20"/>
    <w:qFormat/>
    <w:rsid w:val="006C55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5821530">
      <w:bodyDiv w:val="1"/>
      <w:marLeft w:val="0"/>
      <w:marRight w:val="0"/>
      <w:marTop w:val="0"/>
      <w:marBottom w:val="0"/>
      <w:divBdr>
        <w:top w:val="none" w:sz="0" w:space="0" w:color="auto"/>
        <w:left w:val="none" w:sz="0" w:space="0" w:color="auto"/>
        <w:bottom w:val="none" w:sz="0" w:space="0" w:color="auto"/>
        <w:right w:val="none" w:sz="0" w:space="0" w:color="auto"/>
      </w:divBdr>
    </w:div>
    <w:div w:id="994184048">
      <w:bodyDiv w:val="1"/>
      <w:marLeft w:val="0"/>
      <w:marRight w:val="0"/>
      <w:marTop w:val="0"/>
      <w:marBottom w:val="0"/>
      <w:divBdr>
        <w:top w:val="none" w:sz="0" w:space="0" w:color="auto"/>
        <w:left w:val="none" w:sz="0" w:space="0" w:color="auto"/>
        <w:bottom w:val="none" w:sz="0" w:space="0" w:color="auto"/>
        <w:right w:val="none" w:sz="0" w:space="0" w:color="auto"/>
      </w:divBdr>
      <w:divsChild>
        <w:div w:id="719859521">
          <w:marLeft w:val="0"/>
          <w:marRight w:val="0"/>
          <w:marTop w:val="0"/>
          <w:marBottom w:val="0"/>
          <w:divBdr>
            <w:top w:val="none" w:sz="0" w:space="0" w:color="auto"/>
            <w:left w:val="none" w:sz="0" w:space="0" w:color="auto"/>
            <w:bottom w:val="none" w:sz="0" w:space="0" w:color="auto"/>
            <w:right w:val="none" w:sz="0" w:space="0" w:color="auto"/>
          </w:divBdr>
          <w:divsChild>
            <w:div w:id="1023819848">
              <w:marLeft w:val="0"/>
              <w:marRight w:val="0"/>
              <w:marTop w:val="0"/>
              <w:marBottom w:val="0"/>
              <w:divBdr>
                <w:top w:val="none" w:sz="0" w:space="0" w:color="auto"/>
                <w:left w:val="none" w:sz="0" w:space="0" w:color="auto"/>
                <w:bottom w:val="none" w:sz="0" w:space="0" w:color="auto"/>
                <w:right w:val="none" w:sz="0" w:space="0" w:color="auto"/>
              </w:divBdr>
              <w:divsChild>
                <w:div w:id="2782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59305">
          <w:marLeft w:val="0"/>
          <w:marRight w:val="0"/>
          <w:marTop w:val="0"/>
          <w:marBottom w:val="0"/>
          <w:divBdr>
            <w:top w:val="none" w:sz="0" w:space="0" w:color="auto"/>
            <w:left w:val="none" w:sz="0" w:space="0" w:color="auto"/>
            <w:bottom w:val="none" w:sz="0" w:space="0" w:color="auto"/>
            <w:right w:val="none" w:sz="0" w:space="0" w:color="auto"/>
          </w:divBdr>
          <w:divsChild>
            <w:div w:id="926429011">
              <w:marLeft w:val="0"/>
              <w:marRight w:val="0"/>
              <w:marTop w:val="0"/>
              <w:marBottom w:val="0"/>
              <w:divBdr>
                <w:top w:val="none" w:sz="0" w:space="0" w:color="auto"/>
                <w:left w:val="none" w:sz="0" w:space="0" w:color="auto"/>
                <w:bottom w:val="none" w:sz="0" w:space="0" w:color="auto"/>
                <w:right w:val="none" w:sz="0" w:space="0" w:color="auto"/>
              </w:divBdr>
              <w:divsChild>
                <w:div w:id="156583252">
                  <w:marLeft w:val="0"/>
                  <w:marRight w:val="0"/>
                  <w:marTop w:val="0"/>
                  <w:marBottom w:val="0"/>
                  <w:divBdr>
                    <w:top w:val="none" w:sz="0" w:space="0" w:color="auto"/>
                    <w:left w:val="none" w:sz="0" w:space="0" w:color="auto"/>
                    <w:bottom w:val="none" w:sz="0" w:space="0" w:color="auto"/>
                    <w:right w:val="none" w:sz="0" w:space="0" w:color="auto"/>
                  </w:divBdr>
                  <w:divsChild>
                    <w:div w:id="157099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09472">
          <w:marLeft w:val="0"/>
          <w:marRight w:val="0"/>
          <w:marTop w:val="0"/>
          <w:marBottom w:val="0"/>
          <w:divBdr>
            <w:top w:val="none" w:sz="0" w:space="0" w:color="auto"/>
            <w:left w:val="none" w:sz="0" w:space="0" w:color="auto"/>
            <w:bottom w:val="none" w:sz="0" w:space="0" w:color="auto"/>
            <w:right w:val="none" w:sz="0" w:space="0" w:color="auto"/>
          </w:divBdr>
          <w:divsChild>
            <w:div w:id="1823691164">
              <w:marLeft w:val="0"/>
              <w:marRight w:val="0"/>
              <w:marTop w:val="0"/>
              <w:marBottom w:val="0"/>
              <w:divBdr>
                <w:top w:val="none" w:sz="0" w:space="0" w:color="auto"/>
                <w:left w:val="none" w:sz="0" w:space="0" w:color="auto"/>
                <w:bottom w:val="none" w:sz="0" w:space="0" w:color="auto"/>
                <w:right w:val="none" w:sz="0" w:space="0" w:color="auto"/>
              </w:divBdr>
              <w:divsChild>
                <w:div w:id="18820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7522">
          <w:marLeft w:val="0"/>
          <w:marRight w:val="0"/>
          <w:marTop w:val="0"/>
          <w:marBottom w:val="0"/>
          <w:divBdr>
            <w:top w:val="none" w:sz="0" w:space="0" w:color="auto"/>
            <w:left w:val="none" w:sz="0" w:space="0" w:color="auto"/>
            <w:bottom w:val="none" w:sz="0" w:space="0" w:color="auto"/>
            <w:right w:val="none" w:sz="0" w:space="0" w:color="auto"/>
          </w:divBdr>
          <w:divsChild>
            <w:div w:id="1956213852">
              <w:marLeft w:val="0"/>
              <w:marRight w:val="0"/>
              <w:marTop w:val="0"/>
              <w:marBottom w:val="0"/>
              <w:divBdr>
                <w:top w:val="none" w:sz="0" w:space="0" w:color="auto"/>
                <w:left w:val="none" w:sz="0" w:space="0" w:color="auto"/>
                <w:bottom w:val="none" w:sz="0" w:space="0" w:color="auto"/>
                <w:right w:val="none" w:sz="0" w:space="0" w:color="auto"/>
              </w:divBdr>
              <w:divsChild>
                <w:div w:id="941693600">
                  <w:marLeft w:val="0"/>
                  <w:marRight w:val="0"/>
                  <w:marTop w:val="0"/>
                  <w:marBottom w:val="0"/>
                  <w:divBdr>
                    <w:top w:val="none" w:sz="0" w:space="0" w:color="auto"/>
                    <w:left w:val="none" w:sz="0" w:space="0" w:color="auto"/>
                    <w:bottom w:val="none" w:sz="0" w:space="0" w:color="auto"/>
                    <w:right w:val="none" w:sz="0" w:space="0" w:color="auto"/>
                  </w:divBdr>
                  <w:divsChild>
                    <w:div w:id="612709985">
                      <w:marLeft w:val="0"/>
                      <w:marRight w:val="0"/>
                      <w:marTop w:val="0"/>
                      <w:marBottom w:val="0"/>
                      <w:divBdr>
                        <w:top w:val="none" w:sz="0" w:space="0" w:color="auto"/>
                        <w:left w:val="none" w:sz="0" w:space="0" w:color="auto"/>
                        <w:bottom w:val="none" w:sz="0" w:space="0" w:color="auto"/>
                        <w:right w:val="none" w:sz="0" w:space="0" w:color="auto"/>
                      </w:divBdr>
                      <w:divsChild>
                        <w:div w:id="91096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0856916">
          <w:marLeft w:val="0"/>
          <w:marRight w:val="0"/>
          <w:marTop w:val="0"/>
          <w:marBottom w:val="0"/>
          <w:divBdr>
            <w:top w:val="none" w:sz="0" w:space="0" w:color="auto"/>
            <w:left w:val="none" w:sz="0" w:space="0" w:color="auto"/>
            <w:bottom w:val="none" w:sz="0" w:space="0" w:color="auto"/>
            <w:right w:val="none" w:sz="0" w:space="0" w:color="auto"/>
          </w:divBdr>
          <w:divsChild>
            <w:div w:id="287319983">
              <w:marLeft w:val="0"/>
              <w:marRight w:val="0"/>
              <w:marTop w:val="0"/>
              <w:marBottom w:val="0"/>
              <w:divBdr>
                <w:top w:val="none" w:sz="0" w:space="0" w:color="auto"/>
                <w:left w:val="none" w:sz="0" w:space="0" w:color="auto"/>
                <w:bottom w:val="none" w:sz="0" w:space="0" w:color="auto"/>
                <w:right w:val="none" w:sz="0" w:space="0" w:color="auto"/>
              </w:divBdr>
              <w:divsChild>
                <w:div w:id="2117022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49495">
          <w:marLeft w:val="0"/>
          <w:marRight w:val="0"/>
          <w:marTop w:val="0"/>
          <w:marBottom w:val="0"/>
          <w:divBdr>
            <w:top w:val="none" w:sz="0" w:space="0" w:color="auto"/>
            <w:left w:val="none" w:sz="0" w:space="0" w:color="auto"/>
            <w:bottom w:val="none" w:sz="0" w:space="0" w:color="auto"/>
            <w:right w:val="none" w:sz="0" w:space="0" w:color="auto"/>
          </w:divBdr>
          <w:divsChild>
            <w:div w:id="1948925006">
              <w:marLeft w:val="0"/>
              <w:marRight w:val="0"/>
              <w:marTop w:val="0"/>
              <w:marBottom w:val="0"/>
              <w:divBdr>
                <w:top w:val="none" w:sz="0" w:space="0" w:color="auto"/>
                <w:left w:val="none" w:sz="0" w:space="0" w:color="auto"/>
                <w:bottom w:val="none" w:sz="0" w:space="0" w:color="auto"/>
                <w:right w:val="none" w:sz="0" w:space="0" w:color="auto"/>
              </w:divBdr>
              <w:divsChild>
                <w:div w:id="855079073">
                  <w:marLeft w:val="0"/>
                  <w:marRight w:val="0"/>
                  <w:marTop w:val="0"/>
                  <w:marBottom w:val="0"/>
                  <w:divBdr>
                    <w:top w:val="none" w:sz="0" w:space="0" w:color="auto"/>
                    <w:left w:val="none" w:sz="0" w:space="0" w:color="auto"/>
                    <w:bottom w:val="none" w:sz="0" w:space="0" w:color="auto"/>
                    <w:right w:val="none" w:sz="0" w:space="0" w:color="auto"/>
                  </w:divBdr>
                  <w:divsChild>
                    <w:div w:id="159870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699183">
          <w:marLeft w:val="0"/>
          <w:marRight w:val="0"/>
          <w:marTop w:val="0"/>
          <w:marBottom w:val="0"/>
          <w:divBdr>
            <w:top w:val="none" w:sz="0" w:space="0" w:color="auto"/>
            <w:left w:val="none" w:sz="0" w:space="0" w:color="auto"/>
            <w:bottom w:val="none" w:sz="0" w:space="0" w:color="auto"/>
            <w:right w:val="none" w:sz="0" w:space="0" w:color="auto"/>
          </w:divBdr>
          <w:divsChild>
            <w:div w:id="102924008">
              <w:marLeft w:val="0"/>
              <w:marRight w:val="0"/>
              <w:marTop w:val="0"/>
              <w:marBottom w:val="0"/>
              <w:divBdr>
                <w:top w:val="none" w:sz="0" w:space="0" w:color="auto"/>
                <w:left w:val="none" w:sz="0" w:space="0" w:color="auto"/>
                <w:bottom w:val="none" w:sz="0" w:space="0" w:color="auto"/>
                <w:right w:val="none" w:sz="0" w:space="0" w:color="auto"/>
              </w:divBdr>
              <w:divsChild>
                <w:div w:id="196210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562648">
          <w:marLeft w:val="0"/>
          <w:marRight w:val="0"/>
          <w:marTop w:val="0"/>
          <w:marBottom w:val="0"/>
          <w:divBdr>
            <w:top w:val="none" w:sz="0" w:space="0" w:color="auto"/>
            <w:left w:val="none" w:sz="0" w:space="0" w:color="auto"/>
            <w:bottom w:val="none" w:sz="0" w:space="0" w:color="auto"/>
            <w:right w:val="none" w:sz="0" w:space="0" w:color="auto"/>
          </w:divBdr>
          <w:divsChild>
            <w:div w:id="399404303">
              <w:marLeft w:val="0"/>
              <w:marRight w:val="0"/>
              <w:marTop w:val="0"/>
              <w:marBottom w:val="0"/>
              <w:divBdr>
                <w:top w:val="none" w:sz="0" w:space="0" w:color="auto"/>
                <w:left w:val="none" w:sz="0" w:space="0" w:color="auto"/>
                <w:bottom w:val="none" w:sz="0" w:space="0" w:color="auto"/>
                <w:right w:val="none" w:sz="0" w:space="0" w:color="auto"/>
              </w:divBdr>
              <w:divsChild>
                <w:div w:id="1869945181">
                  <w:marLeft w:val="0"/>
                  <w:marRight w:val="0"/>
                  <w:marTop w:val="0"/>
                  <w:marBottom w:val="0"/>
                  <w:divBdr>
                    <w:top w:val="none" w:sz="0" w:space="0" w:color="auto"/>
                    <w:left w:val="none" w:sz="0" w:space="0" w:color="auto"/>
                    <w:bottom w:val="none" w:sz="0" w:space="0" w:color="auto"/>
                    <w:right w:val="none" w:sz="0" w:space="0" w:color="auto"/>
                  </w:divBdr>
                  <w:divsChild>
                    <w:div w:id="1667200885">
                      <w:marLeft w:val="0"/>
                      <w:marRight w:val="0"/>
                      <w:marTop w:val="0"/>
                      <w:marBottom w:val="0"/>
                      <w:divBdr>
                        <w:top w:val="none" w:sz="0" w:space="0" w:color="auto"/>
                        <w:left w:val="none" w:sz="0" w:space="0" w:color="auto"/>
                        <w:bottom w:val="none" w:sz="0" w:space="0" w:color="auto"/>
                        <w:right w:val="none" w:sz="0" w:space="0" w:color="auto"/>
                      </w:divBdr>
                      <w:divsChild>
                        <w:div w:id="14720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87898">
          <w:marLeft w:val="0"/>
          <w:marRight w:val="0"/>
          <w:marTop w:val="0"/>
          <w:marBottom w:val="0"/>
          <w:divBdr>
            <w:top w:val="none" w:sz="0" w:space="0" w:color="auto"/>
            <w:left w:val="none" w:sz="0" w:space="0" w:color="auto"/>
            <w:bottom w:val="none" w:sz="0" w:space="0" w:color="auto"/>
            <w:right w:val="none" w:sz="0" w:space="0" w:color="auto"/>
          </w:divBdr>
          <w:divsChild>
            <w:div w:id="1372992392">
              <w:marLeft w:val="0"/>
              <w:marRight w:val="0"/>
              <w:marTop w:val="0"/>
              <w:marBottom w:val="0"/>
              <w:divBdr>
                <w:top w:val="none" w:sz="0" w:space="0" w:color="auto"/>
                <w:left w:val="none" w:sz="0" w:space="0" w:color="auto"/>
                <w:bottom w:val="none" w:sz="0" w:space="0" w:color="auto"/>
                <w:right w:val="none" w:sz="0" w:space="0" w:color="auto"/>
              </w:divBdr>
              <w:divsChild>
                <w:div w:id="175840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191029">
      <w:bodyDiv w:val="1"/>
      <w:marLeft w:val="0"/>
      <w:marRight w:val="0"/>
      <w:marTop w:val="0"/>
      <w:marBottom w:val="0"/>
      <w:divBdr>
        <w:top w:val="none" w:sz="0" w:space="0" w:color="auto"/>
        <w:left w:val="none" w:sz="0" w:space="0" w:color="auto"/>
        <w:bottom w:val="none" w:sz="0" w:space="0" w:color="auto"/>
        <w:right w:val="none" w:sz="0" w:space="0" w:color="auto"/>
      </w:divBdr>
      <w:divsChild>
        <w:div w:id="1978144105">
          <w:marLeft w:val="0"/>
          <w:marRight w:val="0"/>
          <w:marTop w:val="0"/>
          <w:marBottom w:val="0"/>
          <w:divBdr>
            <w:top w:val="none" w:sz="0" w:space="0" w:color="auto"/>
            <w:left w:val="none" w:sz="0" w:space="0" w:color="auto"/>
            <w:bottom w:val="none" w:sz="0" w:space="0" w:color="auto"/>
            <w:right w:val="none" w:sz="0" w:space="0" w:color="auto"/>
          </w:divBdr>
          <w:divsChild>
            <w:div w:id="1404795132">
              <w:marLeft w:val="0"/>
              <w:marRight w:val="0"/>
              <w:marTop w:val="0"/>
              <w:marBottom w:val="0"/>
              <w:divBdr>
                <w:top w:val="none" w:sz="0" w:space="0" w:color="auto"/>
                <w:left w:val="none" w:sz="0" w:space="0" w:color="auto"/>
                <w:bottom w:val="none" w:sz="0" w:space="0" w:color="auto"/>
                <w:right w:val="none" w:sz="0" w:space="0" w:color="auto"/>
              </w:divBdr>
              <w:divsChild>
                <w:div w:id="118084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334918">
          <w:marLeft w:val="0"/>
          <w:marRight w:val="0"/>
          <w:marTop w:val="0"/>
          <w:marBottom w:val="0"/>
          <w:divBdr>
            <w:top w:val="none" w:sz="0" w:space="0" w:color="auto"/>
            <w:left w:val="none" w:sz="0" w:space="0" w:color="auto"/>
            <w:bottom w:val="none" w:sz="0" w:space="0" w:color="auto"/>
            <w:right w:val="none" w:sz="0" w:space="0" w:color="auto"/>
          </w:divBdr>
          <w:divsChild>
            <w:div w:id="1790314575">
              <w:marLeft w:val="0"/>
              <w:marRight w:val="0"/>
              <w:marTop w:val="0"/>
              <w:marBottom w:val="0"/>
              <w:divBdr>
                <w:top w:val="none" w:sz="0" w:space="0" w:color="auto"/>
                <w:left w:val="none" w:sz="0" w:space="0" w:color="auto"/>
                <w:bottom w:val="none" w:sz="0" w:space="0" w:color="auto"/>
                <w:right w:val="none" w:sz="0" w:space="0" w:color="auto"/>
              </w:divBdr>
              <w:divsChild>
                <w:div w:id="1973100229">
                  <w:marLeft w:val="0"/>
                  <w:marRight w:val="0"/>
                  <w:marTop w:val="0"/>
                  <w:marBottom w:val="0"/>
                  <w:divBdr>
                    <w:top w:val="none" w:sz="0" w:space="0" w:color="auto"/>
                    <w:left w:val="none" w:sz="0" w:space="0" w:color="auto"/>
                    <w:bottom w:val="none" w:sz="0" w:space="0" w:color="auto"/>
                    <w:right w:val="none" w:sz="0" w:space="0" w:color="auto"/>
                  </w:divBdr>
                  <w:divsChild>
                    <w:div w:id="198587849">
                      <w:marLeft w:val="0"/>
                      <w:marRight w:val="0"/>
                      <w:marTop w:val="0"/>
                      <w:marBottom w:val="0"/>
                      <w:divBdr>
                        <w:top w:val="none" w:sz="0" w:space="0" w:color="auto"/>
                        <w:left w:val="none" w:sz="0" w:space="0" w:color="auto"/>
                        <w:bottom w:val="none" w:sz="0" w:space="0" w:color="auto"/>
                        <w:right w:val="none" w:sz="0" w:space="0" w:color="auto"/>
                      </w:divBdr>
                      <w:divsChild>
                        <w:div w:id="167949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2978">
          <w:marLeft w:val="0"/>
          <w:marRight w:val="0"/>
          <w:marTop w:val="0"/>
          <w:marBottom w:val="0"/>
          <w:divBdr>
            <w:top w:val="none" w:sz="0" w:space="0" w:color="auto"/>
            <w:left w:val="none" w:sz="0" w:space="0" w:color="auto"/>
            <w:bottom w:val="none" w:sz="0" w:space="0" w:color="auto"/>
            <w:right w:val="none" w:sz="0" w:space="0" w:color="auto"/>
          </w:divBdr>
          <w:divsChild>
            <w:div w:id="1750735530">
              <w:marLeft w:val="0"/>
              <w:marRight w:val="0"/>
              <w:marTop w:val="0"/>
              <w:marBottom w:val="0"/>
              <w:divBdr>
                <w:top w:val="none" w:sz="0" w:space="0" w:color="auto"/>
                <w:left w:val="none" w:sz="0" w:space="0" w:color="auto"/>
                <w:bottom w:val="none" w:sz="0" w:space="0" w:color="auto"/>
                <w:right w:val="none" w:sz="0" w:space="0" w:color="auto"/>
              </w:divBdr>
              <w:divsChild>
                <w:div w:id="3100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887833">
          <w:marLeft w:val="0"/>
          <w:marRight w:val="0"/>
          <w:marTop w:val="0"/>
          <w:marBottom w:val="0"/>
          <w:divBdr>
            <w:top w:val="none" w:sz="0" w:space="0" w:color="auto"/>
            <w:left w:val="none" w:sz="0" w:space="0" w:color="auto"/>
            <w:bottom w:val="none" w:sz="0" w:space="0" w:color="auto"/>
            <w:right w:val="none" w:sz="0" w:space="0" w:color="auto"/>
          </w:divBdr>
          <w:divsChild>
            <w:div w:id="1330056726">
              <w:marLeft w:val="0"/>
              <w:marRight w:val="0"/>
              <w:marTop w:val="0"/>
              <w:marBottom w:val="0"/>
              <w:divBdr>
                <w:top w:val="none" w:sz="0" w:space="0" w:color="auto"/>
                <w:left w:val="none" w:sz="0" w:space="0" w:color="auto"/>
                <w:bottom w:val="none" w:sz="0" w:space="0" w:color="auto"/>
                <w:right w:val="none" w:sz="0" w:space="0" w:color="auto"/>
              </w:divBdr>
              <w:divsChild>
                <w:div w:id="923612409">
                  <w:marLeft w:val="0"/>
                  <w:marRight w:val="0"/>
                  <w:marTop w:val="0"/>
                  <w:marBottom w:val="0"/>
                  <w:divBdr>
                    <w:top w:val="none" w:sz="0" w:space="0" w:color="auto"/>
                    <w:left w:val="none" w:sz="0" w:space="0" w:color="auto"/>
                    <w:bottom w:val="none" w:sz="0" w:space="0" w:color="auto"/>
                    <w:right w:val="none" w:sz="0" w:space="0" w:color="auto"/>
                  </w:divBdr>
                  <w:divsChild>
                    <w:div w:id="1200898651">
                      <w:marLeft w:val="0"/>
                      <w:marRight w:val="0"/>
                      <w:marTop w:val="0"/>
                      <w:marBottom w:val="0"/>
                      <w:divBdr>
                        <w:top w:val="none" w:sz="0" w:space="0" w:color="auto"/>
                        <w:left w:val="none" w:sz="0" w:space="0" w:color="auto"/>
                        <w:bottom w:val="none" w:sz="0" w:space="0" w:color="auto"/>
                        <w:right w:val="none" w:sz="0" w:space="0" w:color="auto"/>
                      </w:divBdr>
                      <w:divsChild>
                        <w:div w:id="884177894">
                          <w:marLeft w:val="0"/>
                          <w:marRight w:val="0"/>
                          <w:marTop w:val="0"/>
                          <w:marBottom w:val="0"/>
                          <w:divBdr>
                            <w:top w:val="none" w:sz="0" w:space="0" w:color="auto"/>
                            <w:left w:val="none" w:sz="0" w:space="0" w:color="auto"/>
                            <w:bottom w:val="none" w:sz="0" w:space="0" w:color="auto"/>
                            <w:right w:val="none" w:sz="0" w:space="0" w:color="auto"/>
                          </w:divBdr>
                          <w:divsChild>
                            <w:div w:id="49041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958173">
          <w:marLeft w:val="0"/>
          <w:marRight w:val="0"/>
          <w:marTop w:val="0"/>
          <w:marBottom w:val="0"/>
          <w:divBdr>
            <w:top w:val="none" w:sz="0" w:space="0" w:color="auto"/>
            <w:left w:val="none" w:sz="0" w:space="0" w:color="auto"/>
            <w:bottom w:val="none" w:sz="0" w:space="0" w:color="auto"/>
            <w:right w:val="none" w:sz="0" w:space="0" w:color="auto"/>
          </w:divBdr>
          <w:divsChild>
            <w:div w:id="1480879451">
              <w:marLeft w:val="0"/>
              <w:marRight w:val="0"/>
              <w:marTop w:val="0"/>
              <w:marBottom w:val="0"/>
              <w:divBdr>
                <w:top w:val="none" w:sz="0" w:space="0" w:color="auto"/>
                <w:left w:val="none" w:sz="0" w:space="0" w:color="auto"/>
                <w:bottom w:val="none" w:sz="0" w:space="0" w:color="auto"/>
                <w:right w:val="none" w:sz="0" w:space="0" w:color="auto"/>
              </w:divBdr>
              <w:divsChild>
                <w:div w:id="136324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868128">
      <w:bodyDiv w:val="1"/>
      <w:marLeft w:val="0"/>
      <w:marRight w:val="0"/>
      <w:marTop w:val="0"/>
      <w:marBottom w:val="0"/>
      <w:divBdr>
        <w:top w:val="none" w:sz="0" w:space="0" w:color="auto"/>
        <w:left w:val="none" w:sz="0" w:space="0" w:color="auto"/>
        <w:bottom w:val="none" w:sz="0" w:space="0" w:color="auto"/>
        <w:right w:val="none" w:sz="0" w:space="0" w:color="auto"/>
      </w:divBdr>
      <w:divsChild>
        <w:div w:id="1819880083">
          <w:marLeft w:val="0"/>
          <w:marRight w:val="0"/>
          <w:marTop w:val="0"/>
          <w:marBottom w:val="0"/>
          <w:divBdr>
            <w:top w:val="none" w:sz="0" w:space="0" w:color="auto"/>
            <w:left w:val="none" w:sz="0" w:space="0" w:color="auto"/>
            <w:bottom w:val="none" w:sz="0" w:space="0" w:color="auto"/>
            <w:right w:val="none" w:sz="0" w:space="0" w:color="auto"/>
          </w:divBdr>
          <w:divsChild>
            <w:div w:id="449204589">
              <w:marLeft w:val="0"/>
              <w:marRight w:val="0"/>
              <w:marTop w:val="0"/>
              <w:marBottom w:val="0"/>
              <w:divBdr>
                <w:top w:val="none" w:sz="0" w:space="0" w:color="auto"/>
                <w:left w:val="none" w:sz="0" w:space="0" w:color="auto"/>
                <w:bottom w:val="none" w:sz="0" w:space="0" w:color="auto"/>
                <w:right w:val="none" w:sz="0" w:space="0" w:color="auto"/>
              </w:divBdr>
              <w:divsChild>
                <w:div w:id="19701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2438">
          <w:marLeft w:val="0"/>
          <w:marRight w:val="0"/>
          <w:marTop w:val="0"/>
          <w:marBottom w:val="0"/>
          <w:divBdr>
            <w:top w:val="none" w:sz="0" w:space="0" w:color="auto"/>
            <w:left w:val="none" w:sz="0" w:space="0" w:color="auto"/>
            <w:bottom w:val="none" w:sz="0" w:space="0" w:color="auto"/>
            <w:right w:val="none" w:sz="0" w:space="0" w:color="auto"/>
          </w:divBdr>
          <w:divsChild>
            <w:div w:id="961568580">
              <w:marLeft w:val="0"/>
              <w:marRight w:val="0"/>
              <w:marTop w:val="0"/>
              <w:marBottom w:val="0"/>
              <w:divBdr>
                <w:top w:val="none" w:sz="0" w:space="0" w:color="auto"/>
                <w:left w:val="none" w:sz="0" w:space="0" w:color="auto"/>
                <w:bottom w:val="none" w:sz="0" w:space="0" w:color="auto"/>
                <w:right w:val="none" w:sz="0" w:space="0" w:color="auto"/>
              </w:divBdr>
              <w:divsChild>
                <w:div w:id="1710453479">
                  <w:marLeft w:val="0"/>
                  <w:marRight w:val="0"/>
                  <w:marTop w:val="0"/>
                  <w:marBottom w:val="0"/>
                  <w:divBdr>
                    <w:top w:val="none" w:sz="0" w:space="0" w:color="auto"/>
                    <w:left w:val="none" w:sz="0" w:space="0" w:color="auto"/>
                    <w:bottom w:val="none" w:sz="0" w:space="0" w:color="auto"/>
                    <w:right w:val="none" w:sz="0" w:space="0" w:color="auto"/>
                  </w:divBdr>
                  <w:divsChild>
                    <w:div w:id="167282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251219">
          <w:marLeft w:val="0"/>
          <w:marRight w:val="0"/>
          <w:marTop w:val="0"/>
          <w:marBottom w:val="0"/>
          <w:divBdr>
            <w:top w:val="none" w:sz="0" w:space="0" w:color="auto"/>
            <w:left w:val="none" w:sz="0" w:space="0" w:color="auto"/>
            <w:bottom w:val="none" w:sz="0" w:space="0" w:color="auto"/>
            <w:right w:val="none" w:sz="0" w:space="0" w:color="auto"/>
          </w:divBdr>
          <w:divsChild>
            <w:div w:id="1921526067">
              <w:marLeft w:val="0"/>
              <w:marRight w:val="0"/>
              <w:marTop w:val="0"/>
              <w:marBottom w:val="0"/>
              <w:divBdr>
                <w:top w:val="none" w:sz="0" w:space="0" w:color="auto"/>
                <w:left w:val="none" w:sz="0" w:space="0" w:color="auto"/>
                <w:bottom w:val="none" w:sz="0" w:space="0" w:color="auto"/>
                <w:right w:val="none" w:sz="0" w:space="0" w:color="auto"/>
              </w:divBdr>
              <w:divsChild>
                <w:div w:id="1751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58055">
          <w:marLeft w:val="0"/>
          <w:marRight w:val="0"/>
          <w:marTop w:val="0"/>
          <w:marBottom w:val="0"/>
          <w:divBdr>
            <w:top w:val="none" w:sz="0" w:space="0" w:color="auto"/>
            <w:left w:val="none" w:sz="0" w:space="0" w:color="auto"/>
            <w:bottom w:val="none" w:sz="0" w:space="0" w:color="auto"/>
            <w:right w:val="none" w:sz="0" w:space="0" w:color="auto"/>
          </w:divBdr>
          <w:divsChild>
            <w:div w:id="149832161">
              <w:marLeft w:val="0"/>
              <w:marRight w:val="0"/>
              <w:marTop w:val="0"/>
              <w:marBottom w:val="0"/>
              <w:divBdr>
                <w:top w:val="none" w:sz="0" w:space="0" w:color="auto"/>
                <w:left w:val="none" w:sz="0" w:space="0" w:color="auto"/>
                <w:bottom w:val="none" w:sz="0" w:space="0" w:color="auto"/>
                <w:right w:val="none" w:sz="0" w:space="0" w:color="auto"/>
              </w:divBdr>
              <w:divsChild>
                <w:div w:id="856240328">
                  <w:marLeft w:val="0"/>
                  <w:marRight w:val="0"/>
                  <w:marTop w:val="0"/>
                  <w:marBottom w:val="0"/>
                  <w:divBdr>
                    <w:top w:val="none" w:sz="0" w:space="0" w:color="auto"/>
                    <w:left w:val="none" w:sz="0" w:space="0" w:color="auto"/>
                    <w:bottom w:val="none" w:sz="0" w:space="0" w:color="auto"/>
                    <w:right w:val="none" w:sz="0" w:space="0" w:color="auto"/>
                  </w:divBdr>
                  <w:divsChild>
                    <w:div w:id="2092047767">
                      <w:marLeft w:val="0"/>
                      <w:marRight w:val="0"/>
                      <w:marTop w:val="0"/>
                      <w:marBottom w:val="0"/>
                      <w:divBdr>
                        <w:top w:val="none" w:sz="0" w:space="0" w:color="auto"/>
                        <w:left w:val="none" w:sz="0" w:space="0" w:color="auto"/>
                        <w:bottom w:val="none" w:sz="0" w:space="0" w:color="auto"/>
                        <w:right w:val="none" w:sz="0" w:space="0" w:color="auto"/>
                      </w:divBdr>
                      <w:divsChild>
                        <w:div w:id="211304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036727">
          <w:marLeft w:val="0"/>
          <w:marRight w:val="0"/>
          <w:marTop w:val="0"/>
          <w:marBottom w:val="0"/>
          <w:divBdr>
            <w:top w:val="none" w:sz="0" w:space="0" w:color="auto"/>
            <w:left w:val="none" w:sz="0" w:space="0" w:color="auto"/>
            <w:bottom w:val="none" w:sz="0" w:space="0" w:color="auto"/>
            <w:right w:val="none" w:sz="0" w:space="0" w:color="auto"/>
          </w:divBdr>
          <w:divsChild>
            <w:div w:id="1233353397">
              <w:marLeft w:val="0"/>
              <w:marRight w:val="0"/>
              <w:marTop w:val="0"/>
              <w:marBottom w:val="0"/>
              <w:divBdr>
                <w:top w:val="none" w:sz="0" w:space="0" w:color="auto"/>
                <w:left w:val="none" w:sz="0" w:space="0" w:color="auto"/>
                <w:bottom w:val="none" w:sz="0" w:space="0" w:color="auto"/>
                <w:right w:val="none" w:sz="0" w:space="0" w:color="auto"/>
              </w:divBdr>
              <w:divsChild>
                <w:div w:id="188143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718</Words>
  <Characters>3955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Senefex Technologies</dc:creator>
  <cp:keywords/>
  <dc:description/>
  <cp:lastModifiedBy>Senefex Technologies</cp:lastModifiedBy>
  <cp:revision>4</cp:revision>
  <dcterms:created xsi:type="dcterms:W3CDTF">2023-10-03T22:01:00Z</dcterms:created>
  <dcterms:modified xsi:type="dcterms:W3CDTF">2023-10-03T22:06:00Z</dcterms:modified>
</cp:coreProperties>
</file>